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31"/>
        <w:gridCol w:w="5895"/>
      </w:tblGrid>
      <w:tr w:rsidR="00D26798" w:rsidRPr="00D26798" w:rsidTr="00D26798">
        <w:trPr>
          <w:jc w:val="center"/>
        </w:trPr>
        <w:tc>
          <w:tcPr>
            <w:tcW w:w="3240" w:type="dxa"/>
            <w:tcBorders>
              <w:top w:val="nil"/>
              <w:left w:val="nil"/>
              <w:bottom w:val="nil"/>
              <w:right w:val="nil"/>
            </w:tcBorders>
            <w:tcMar>
              <w:top w:w="0" w:type="dxa"/>
              <w:left w:w="108" w:type="dxa"/>
              <w:bottom w:w="0" w:type="dxa"/>
              <w:right w:w="108" w:type="dxa"/>
            </w:tcMar>
            <w:hideMark/>
          </w:tcPr>
          <w:p w:rsidR="00D26798" w:rsidRPr="00D26798" w:rsidRDefault="00D26798" w:rsidP="00D26798">
            <w:pPr>
              <w:spacing w:after="0" w:line="240" w:lineRule="auto"/>
              <w:jc w:val="center"/>
              <w:rPr>
                <w:rFonts w:eastAsia="Times New Roman" w:cs="Times New Roman"/>
                <w:b/>
                <w:bCs/>
                <w:szCs w:val="24"/>
                <w:lang w:eastAsia="vi-VN"/>
              </w:rPr>
            </w:pPr>
            <w:r w:rsidRPr="00D26798">
              <w:rPr>
                <w:rFonts w:eastAsia="Times New Roman" w:cs="Times New Roman"/>
                <w:b/>
                <w:bCs/>
                <w:szCs w:val="24"/>
                <w:lang w:eastAsia="vi-VN"/>
              </w:rPr>
              <w:t>BỘ LAO ĐỘNG - THƯƠNG BINH VÀ XÃ HỘI</w:t>
            </w:r>
            <w:r w:rsidRPr="00D26798">
              <w:rPr>
                <w:rFonts w:eastAsia="Times New Roman" w:cs="Times New Roman"/>
                <w:b/>
                <w:bCs/>
                <w:szCs w:val="24"/>
                <w:lang w:eastAsia="vi-VN"/>
              </w:rPr>
              <w:br/>
              <w:t>-------</w:t>
            </w:r>
          </w:p>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23/2015/TT-BLĐTBXH</w:t>
            </w:r>
          </w:p>
        </w:tc>
        <w:tc>
          <w:tcPr>
            <w:tcW w:w="6210" w:type="dxa"/>
            <w:tcBorders>
              <w:top w:val="nil"/>
              <w:left w:val="nil"/>
              <w:bottom w:val="nil"/>
              <w:right w:val="nil"/>
            </w:tcBorders>
            <w:tcMar>
              <w:top w:w="0" w:type="dxa"/>
              <w:left w:w="108" w:type="dxa"/>
              <w:bottom w:w="0" w:type="dxa"/>
              <w:right w:w="108" w:type="dxa"/>
            </w:tcMar>
            <w:hideMark/>
          </w:tcPr>
          <w:p w:rsidR="00D26798" w:rsidRPr="00D26798" w:rsidRDefault="00D26798" w:rsidP="00D26798">
            <w:pPr>
              <w:spacing w:after="0" w:line="240" w:lineRule="auto"/>
              <w:jc w:val="center"/>
              <w:rPr>
                <w:rFonts w:eastAsia="Times New Roman" w:cs="Times New Roman"/>
                <w:b/>
                <w:bCs/>
                <w:szCs w:val="24"/>
                <w:lang w:eastAsia="vi-VN"/>
              </w:rPr>
            </w:pPr>
            <w:r w:rsidRPr="00D26798">
              <w:rPr>
                <w:rFonts w:eastAsia="Times New Roman" w:cs="Times New Roman"/>
                <w:b/>
                <w:bCs/>
                <w:szCs w:val="24"/>
                <w:lang w:eastAsia="vi-VN"/>
              </w:rPr>
              <w:t>CỘNG HÒA XÃ HỘI CHỦ NGHĨA VIỆT NAM</w:t>
            </w:r>
            <w:r w:rsidRPr="00D26798">
              <w:rPr>
                <w:rFonts w:eastAsia="Times New Roman" w:cs="Times New Roman"/>
                <w:b/>
                <w:bCs/>
                <w:szCs w:val="24"/>
                <w:lang w:eastAsia="vi-VN"/>
              </w:rPr>
              <w:br/>
              <w:t xml:space="preserve">Độc lập - Tự do - Hạnh phúc </w:t>
            </w:r>
            <w:r w:rsidRPr="00D26798">
              <w:rPr>
                <w:rFonts w:eastAsia="Times New Roman" w:cs="Times New Roman"/>
                <w:b/>
                <w:bCs/>
                <w:szCs w:val="24"/>
                <w:lang w:eastAsia="vi-VN"/>
              </w:rPr>
              <w:br/>
              <w:t>---------------</w:t>
            </w:r>
          </w:p>
          <w:p w:rsidR="00D26798" w:rsidRPr="00D26798" w:rsidRDefault="00D26798" w:rsidP="00D26798">
            <w:pPr>
              <w:spacing w:after="0" w:line="240" w:lineRule="auto"/>
              <w:jc w:val="right"/>
              <w:rPr>
                <w:rFonts w:eastAsia="Times New Roman" w:cs="Times New Roman"/>
                <w:i/>
                <w:szCs w:val="24"/>
                <w:lang w:eastAsia="vi-VN"/>
              </w:rPr>
            </w:pPr>
            <w:r w:rsidRPr="00D26798">
              <w:rPr>
                <w:rFonts w:eastAsia="Times New Roman" w:cs="Times New Roman"/>
                <w:i/>
                <w:szCs w:val="24"/>
                <w:lang w:eastAsia="vi-VN"/>
              </w:rPr>
              <w:t>Hà Nội, ngày 23 tháng 06 năm 2015</w:t>
            </w:r>
          </w:p>
        </w:tc>
      </w:tr>
    </w:tbl>
    <w:p w:rsidR="00D26798" w:rsidRPr="00D26798" w:rsidRDefault="00D26798" w:rsidP="00D26798">
      <w:pPr>
        <w:spacing w:after="0" w:line="240" w:lineRule="auto"/>
        <w:rPr>
          <w:rFonts w:eastAsia="Times New Roman" w:cs="Times New Roman"/>
          <w:szCs w:val="24"/>
          <w:lang w:eastAsia="vi-VN"/>
        </w:rPr>
      </w:pPr>
      <w:r w:rsidRPr="00D26798">
        <w:rPr>
          <w:rFonts w:eastAsia="Times New Roman" w:cs="Times New Roman"/>
          <w:szCs w:val="24"/>
          <w:lang w:eastAsia="vi-VN"/>
        </w:rPr>
        <w:t> </w:t>
      </w:r>
    </w:p>
    <w:p w:rsidR="00D26798" w:rsidRPr="00D26798" w:rsidRDefault="00D26798" w:rsidP="00D26798">
      <w:pPr>
        <w:spacing w:after="0" w:line="240" w:lineRule="auto"/>
        <w:jc w:val="center"/>
        <w:rPr>
          <w:rFonts w:eastAsia="Times New Roman" w:cs="Times New Roman"/>
          <w:b/>
          <w:bCs/>
          <w:szCs w:val="24"/>
          <w:lang w:eastAsia="vi-VN"/>
        </w:rPr>
      </w:pPr>
      <w:bookmarkStart w:id="0" w:name="loai_1"/>
    </w:p>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b/>
          <w:bCs/>
          <w:szCs w:val="24"/>
          <w:lang w:eastAsia="vi-VN"/>
        </w:rPr>
        <w:t>THÔNG TƯ</w:t>
      </w:r>
      <w:bookmarkEnd w:id="0"/>
    </w:p>
    <w:p w:rsidR="00D26798" w:rsidRPr="00D26798" w:rsidRDefault="00D26798" w:rsidP="00D26798">
      <w:pPr>
        <w:spacing w:after="0" w:line="240" w:lineRule="auto"/>
        <w:jc w:val="center"/>
        <w:rPr>
          <w:rFonts w:eastAsia="Times New Roman" w:cs="Times New Roman"/>
          <w:b/>
          <w:szCs w:val="24"/>
          <w:lang w:eastAsia="vi-VN"/>
        </w:rPr>
      </w:pPr>
      <w:bookmarkStart w:id="1" w:name="loai_1_name"/>
      <w:r w:rsidRPr="00D26798">
        <w:rPr>
          <w:rFonts w:eastAsia="Times New Roman" w:cs="Times New Roman"/>
          <w:b/>
          <w:szCs w:val="24"/>
          <w:lang w:eastAsia="vi-VN"/>
        </w:rPr>
        <w:t>HƯỚNG DẪN THỰC HIỆN MỘT SỐ ĐIỀU VỀ TIỀN LƯƠNG CỦA NGHỊ ĐỊNH SỐ 05/2015/NĐ-CP NGÀY 12 THÁNG 01 NĂM 2015 CỦA CHÍNH PHỦ QUY ĐỊNH CHI TIẾT VÀ HƯỚNG DẪN THI HÀNH MỘT SỐ NỘI DUNG CỦA BỘ LUẬT LAO ĐỘNG</w:t>
      </w:r>
      <w:bookmarkEnd w:id="1"/>
    </w:p>
    <w:p w:rsidR="00D26798" w:rsidRPr="00D26798" w:rsidRDefault="00D26798" w:rsidP="00D26798">
      <w:pPr>
        <w:spacing w:after="0" w:line="240" w:lineRule="auto"/>
        <w:jc w:val="center"/>
        <w:rPr>
          <w:rFonts w:eastAsia="Times New Roman" w:cs="Times New Roman"/>
          <w:b/>
          <w:szCs w:val="24"/>
          <w:lang w:eastAsia="vi-VN"/>
        </w:rPr>
      </w:pP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i/>
          <w:iCs/>
          <w:szCs w:val="24"/>
          <w:lang w:eastAsia="vi-VN"/>
        </w:rPr>
        <w:t xml:space="preserve">Căn cứ </w:t>
      </w:r>
      <w:r w:rsidRPr="00D26798">
        <w:rPr>
          <w:rFonts w:eastAsia="Times New Roman" w:cs="Times New Roman"/>
          <w:i/>
          <w:iCs/>
          <w:szCs w:val="24"/>
          <w:shd w:val="solid" w:color="FFFFFF" w:fill="auto"/>
          <w:lang w:eastAsia="vi-VN"/>
        </w:rPr>
        <w:t>Nghị định số</w:t>
      </w:r>
      <w:r w:rsidRPr="00D26798">
        <w:rPr>
          <w:rFonts w:eastAsia="Times New Roman" w:cs="Times New Roman"/>
          <w:i/>
          <w:iCs/>
          <w:szCs w:val="24"/>
          <w:lang w:eastAsia="vi-VN"/>
        </w:rPr>
        <w:t xml:space="preserve"> 106/2012/NĐ-CP ngày 20 </w:t>
      </w:r>
      <w:r w:rsidRPr="00D26798">
        <w:rPr>
          <w:rFonts w:eastAsia="Times New Roman" w:cs="Times New Roman"/>
          <w:i/>
          <w:iCs/>
          <w:szCs w:val="24"/>
          <w:shd w:val="solid" w:color="FFFFFF" w:fill="auto"/>
          <w:lang w:eastAsia="vi-VN"/>
        </w:rPr>
        <w:t>tháng</w:t>
      </w:r>
      <w:r w:rsidRPr="00D26798">
        <w:rPr>
          <w:rFonts w:eastAsia="Times New Roman" w:cs="Times New Roman"/>
          <w:i/>
          <w:iCs/>
          <w:szCs w:val="24"/>
          <w:lang w:eastAsia="vi-VN"/>
        </w:rPr>
        <w:t xml:space="preserve"> 12 năm 2012 của </w:t>
      </w:r>
      <w:r w:rsidRPr="00D26798">
        <w:rPr>
          <w:rFonts w:eastAsia="Times New Roman" w:cs="Times New Roman"/>
          <w:i/>
          <w:iCs/>
          <w:szCs w:val="24"/>
          <w:shd w:val="solid" w:color="FFFFFF" w:fill="auto"/>
          <w:lang w:eastAsia="vi-VN"/>
        </w:rPr>
        <w:t>Chính phủ</w:t>
      </w:r>
      <w:r w:rsidRPr="00D26798">
        <w:rPr>
          <w:rFonts w:eastAsia="Times New Roman" w:cs="Times New Roman"/>
          <w:i/>
          <w:iCs/>
          <w:szCs w:val="24"/>
          <w:lang w:eastAsia="vi-VN"/>
        </w:rPr>
        <w:t xml:space="preserve"> quy định chức năng, nhiệm vụ, quyền hạn và </w:t>
      </w:r>
      <w:r w:rsidRPr="00D26798">
        <w:rPr>
          <w:rFonts w:eastAsia="Times New Roman" w:cs="Times New Roman"/>
          <w:i/>
          <w:iCs/>
          <w:szCs w:val="24"/>
          <w:shd w:val="solid" w:color="FFFFFF" w:fill="auto"/>
          <w:lang w:eastAsia="vi-VN"/>
        </w:rPr>
        <w:t>cơ cấu</w:t>
      </w:r>
      <w:r w:rsidRPr="00D26798">
        <w:rPr>
          <w:rFonts w:eastAsia="Times New Roman" w:cs="Times New Roman"/>
          <w:i/>
          <w:iCs/>
          <w:szCs w:val="24"/>
          <w:lang w:eastAsia="vi-VN"/>
        </w:rPr>
        <w:t xml:space="preserve"> tổ chức của Bộ Lao động - Thương binh và Xã hội;</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i/>
          <w:iCs/>
          <w:szCs w:val="24"/>
          <w:lang w:eastAsia="vi-VN"/>
        </w:rPr>
        <w:t xml:space="preserve">Căn cứ </w:t>
      </w:r>
      <w:r w:rsidRPr="00D26798">
        <w:rPr>
          <w:rFonts w:eastAsia="Times New Roman" w:cs="Times New Roman"/>
          <w:i/>
          <w:iCs/>
          <w:szCs w:val="24"/>
          <w:shd w:val="solid" w:color="FFFFFF" w:fill="auto"/>
          <w:lang w:eastAsia="vi-VN"/>
        </w:rPr>
        <w:t>Nghị định số</w:t>
      </w:r>
      <w:r w:rsidRPr="00D26798">
        <w:rPr>
          <w:rFonts w:eastAsia="Times New Roman" w:cs="Times New Roman"/>
          <w:i/>
          <w:iCs/>
          <w:szCs w:val="24"/>
          <w:lang w:eastAsia="vi-VN"/>
        </w:rPr>
        <w:t xml:space="preserve"> 05/2015/NĐ-CP ngày 12 tháng 01 năm 2015 của </w:t>
      </w:r>
      <w:r w:rsidRPr="00D26798">
        <w:rPr>
          <w:rFonts w:eastAsia="Times New Roman" w:cs="Times New Roman"/>
          <w:i/>
          <w:iCs/>
          <w:szCs w:val="24"/>
          <w:shd w:val="solid" w:color="FFFFFF" w:fill="auto"/>
          <w:lang w:eastAsia="vi-VN"/>
        </w:rPr>
        <w:t>Chính phủ</w:t>
      </w:r>
      <w:r w:rsidRPr="00D26798">
        <w:rPr>
          <w:rFonts w:eastAsia="Times New Roman" w:cs="Times New Roman"/>
          <w:i/>
          <w:iCs/>
          <w:szCs w:val="24"/>
          <w:lang w:eastAsia="vi-VN"/>
        </w:rPr>
        <w:t xml:space="preserve"> quy định </w:t>
      </w:r>
      <w:r w:rsidRPr="00D26798">
        <w:rPr>
          <w:rFonts w:eastAsia="Times New Roman" w:cs="Times New Roman"/>
          <w:i/>
          <w:iCs/>
          <w:szCs w:val="24"/>
          <w:shd w:val="solid" w:color="FFFFFF" w:fill="auto"/>
          <w:lang w:eastAsia="vi-VN"/>
        </w:rPr>
        <w:t>chi tiết</w:t>
      </w:r>
      <w:r w:rsidRPr="00D26798">
        <w:rPr>
          <w:rFonts w:eastAsia="Times New Roman" w:cs="Times New Roman"/>
          <w:i/>
          <w:iCs/>
          <w:szCs w:val="24"/>
          <w:lang w:eastAsia="vi-VN"/>
        </w:rPr>
        <w:t xml:space="preserve"> và hướng dẫn thi hành một số nội dung của Bộ luật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i/>
          <w:iCs/>
          <w:szCs w:val="24"/>
          <w:lang w:eastAsia="vi-VN"/>
        </w:rPr>
        <w:t>Theo đề nghị của Vụ trưởng Vụ Lao động - Tiền lương;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i/>
          <w:iCs/>
          <w:szCs w:val="24"/>
          <w:lang w:eastAsia="vi-VN"/>
        </w:rPr>
        <w:t xml:space="preserve">Bộ trưởng Bộ Lao động - Thương binh và Xã hội ban hành Thông tư hướng dẫn thực hiện một số điều về tiền lương của </w:t>
      </w:r>
      <w:r w:rsidRPr="00D26798">
        <w:rPr>
          <w:rFonts w:eastAsia="Times New Roman" w:cs="Times New Roman"/>
          <w:i/>
          <w:iCs/>
          <w:szCs w:val="24"/>
          <w:shd w:val="solid" w:color="FFFFFF" w:fill="auto"/>
          <w:lang w:eastAsia="vi-VN"/>
        </w:rPr>
        <w:t>Nghị định số</w:t>
      </w:r>
      <w:r w:rsidRPr="00D26798">
        <w:rPr>
          <w:rFonts w:eastAsia="Times New Roman" w:cs="Times New Roman"/>
          <w:i/>
          <w:iCs/>
          <w:szCs w:val="24"/>
          <w:lang w:eastAsia="vi-VN"/>
        </w:rPr>
        <w:t xml:space="preserve"> 05/2015/NĐ-CP ngày 12 tháng 01 năm 2015 của </w:t>
      </w:r>
      <w:r w:rsidRPr="00D26798">
        <w:rPr>
          <w:rFonts w:eastAsia="Times New Roman" w:cs="Times New Roman"/>
          <w:i/>
          <w:iCs/>
          <w:szCs w:val="24"/>
          <w:shd w:val="solid" w:color="FFFFFF" w:fill="auto"/>
          <w:lang w:eastAsia="vi-VN"/>
        </w:rPr>
        <w:t>Chính phủ</w:t>
      </w:r>
      <w:r w:rsidRPr="00D26798">
        <w:rPr>
          <w:rFonts w:eastAsia="Times New Roman" w:cs="Times New Roman"/>
          <w:i/>
          <w:iCs/>
          <w:szCs w:val="24"/>
          <w:lang w:eastAsia="vi-VN"/>
        </w:rPr>
        <w:t xml:space="preserve"> quy định chi tiết và hướng dẫn thi hành một số nội dung của Bộ luật Lao động.</w:t>
      </w:r>
      <w:bookmarkStart w:id="2" w:name="dieu_1"/>
    </w:p>
    <w:p w:rsidR="00D26798" w:rsidRPr="00D26798" w:rsidRDefault="00D26798" w:rsidP="00D26798">
      <w:pPr>
        <w:spacing w:after="0" w:line="240" w:lineRule="auto"/>
        <w:rPr>
          <w:rFonts w:eastAsia="Times New Roman" w:cs="Times New Roman"/>
          <w:b/>
          <w:bCs/>
          <w:szCs w:val="24"/>
          <w:lang w:eastAsia="vi-VN"/>
        </w:rPr>
      </w:pP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b/>
          <w:bCs/>
          <w:szCs w:val="24"/>
          <w:lang w:eastAsia="vi-VN"/>
        </w:rPr>
        <w:t>Điều 1. Phạm vi điều chỉnh</w:t>
      </w:r>
      <w:bookmarkEnd w:id="2"/>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Thông tư này hướng dẫn thực hiện một số điều về tiền lương của Nghị định số 05/2015/NĐ-CP ngày 12 tháng 01 năm 2015 của Chính phủ quy định chi tiết và hướng dẫn thi hành một số nội dung của Bộ luật Lao động (sau đây gọi tắt là Nghị định số 05/2015/NĐ-CP).</w:t>
      </w:r>
    </w:p>
    <w:p w:rsidR="00D26798" w:rsidRPr="00D26798" w:rsidRDefault="00D26798" w:rsidP="00D26798">
      <w:pPr>
        <w:spacing w:after="120" w:line="240" w:lineRule="auto"/>
        <w:ind w:firstLine="720"/>
        <w:jc w:val="both"/>
        <w:rPr>
          <w:rFonts w:eastAsia="Times New Roman" w:cs="Times New Roman"/>
          <w:szCs w:val="24"/>
          <w:lang w:eastAsia="vi-VN"/>
        </w:rPr>
      </w:pPr>
      <w:bookmarkStart w:id="3" w:name="dieu_2"/>
      <w:r w:rsidRPr="00D26798">
        <w:rPr>
          <w:rFonts w:eastAsia="Times New Roman" w:cs="Times New Roman"/>
          <w:b/>
          <w:bCs/>
          <w:szCs w:val="24"/>
          <w:lang w:eastAsia="vi-VN"/>
        </w:rPr>
        <w:t>Điều 2. Đối tượng áp dụng</w:t>
      </w:r>
      <w:bookmarkEnd w:id="3"/>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Người sử dụng lao động, người lao động, tổ chức đại diện tập thể lao động, cơ quan, tổ chức, cá nhân có liên quan trực tiếp đến quan hệ lao động trong việc thực hiện một số quy định về tiền lương theo Nghị định số 05/2015/NĐ-CP.</w:t>
      </w:r>
    </w:p>
    <w:p w:rsidR="00D26798" w:rsidRPr="00D26798" w:rsidRDefault="00D26798" w:rsidP="00D26798">
      <w:pPr>
        <w:spacing w:after="120" w:line="240" w:lineRule="auto"/>
        <w:ind w:firstLine="720"/>
        <w:jc w:val="both"/>
        <w:rPr>
          <w:rFonts w:eastAsia="Times New Roman" w:cs="Times New Roman"/>
          <w:szCs w:val="24"/>
          <w:lang w:eastAsia="vi-VN"/>
        </w:rPr>
      </w:pPr>
      <w:bookmarkStart w:id="4" w:name="dieu_3"/>
      <w:r w:rsidRPr="00D26798">
        <w:rPr>
          <w:rFonts w:eastAsia="Times New Roman" w:cs="Times New Roman"/>
          <w:b/>
          <w:bCs/>
          <w:szCs w:val="24"/>
          <w:lang w:eastAsia="vi-VN"/>
        </w:rPr>
        <w:t>Điều 3. Tiền lương</w:t>
      </w:r>
      <w:bookmarkEnd w:id="4"/>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Tiền lương theo quy định tại Khoản 1 và Khoản 2 Điều 21 Nghị định số 05/2015/NĐ-CP được quy định cụ thể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Tiền lương ghi trong hợp đồng lao động do người lao động thỏa thuận với người sử dụng lao động để thực hiện công việc nhất định, bao gồm:</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Mức lương theo công việc hoặc chức danh là mức lương trong thang lương, bảng lương do người sử dụng lao động xây dựng theo quy định tại Điều 93 của Bộ luật Lao động và Điều 7, Khoản 2 Điều 10 Nghị định số 49/2013/NĐ-CP ngày 14 tháng 5 năm 2013 của Chính phủ quy định chi tiết thi hành một số điều của Bộ luật Lao động về tiền lương;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b) Phụ cấp lương là khoản tiền bù đắp các yếu tố về điều kiện lao động, tính chất phức tạp công việc, điều kiện sinh hoạt, mức độ thu hút lao động chưa được tính đến hoặc tính chưa đầy đủ trong mức lương theo công việc hoặc chức danh của thang lương, bảng lương, cụ thể:</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lastRenderedPageBreak/>
        <w:t>- Bù đắp yếu tố điều kiện lao động, bao gồm công việc có yếu tố nặng nhọc, độc hại, nguy hiểm hoặc đặc biệt nặng nhọc, độc hại, nguy hiểm.</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Bù đắp yếu tố tính chất phức tạp công việc, như công việc đòi hỏi thời gian đào tạo, trình độ chuyên môn, nghiệp vụ, trách nhiệm cao, có ảnh hưởng đến các công việc khác, yêu cầu về thâm niên và kinh nghiệm, kỹ năng làm việc, giao tiếp, sự phối hợp trong quá trình làm việc của người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Bù đắp các yếu tố điều kiện sinh hoạt, như công việc thực hiện ở vùng xa xôi, hẻo lánh, có nhiều khó khăn và khí hậu khắc nghiệt, vùng có giá cả sinh hoạt đắt đỏ, khó khăn về nhà ở, công việc người lao động phải thường xuyên thay đổi địa điểm làm việc, nơi ở và các yếu tố khác làm cho điều kiện sinh hoạt của người lao động không thuận lợi khi thực hiện công việc.</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Bù đắp các yếu tố để thu hút lao động, như khuyến khích người lao động đến làm việc ở vùng kinh tế mới, thị trường mới mở; nghề, công việc kém hấp dẫn, cung ứng của thị trường lao động còn hạn chế; khuyến khích người lao động làm việc có năng suất lao động, chất lượng công việc cao hơn hoặc đáp ứng tiến độ công việc được giao.</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c) Các khoản bổ sung khác là khoản tiền ngoài mức lương, phụ cấp lương và có liên quan đến thực hiện công việc hoặc chức danh trong hợp đồng lao động. Các khoản bổ sung khác không bao gồm: Tiền thưởng theo quy định tại Điều 103 của Bộ luật Lao động; tiền ăn giữa ca; các khoản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không liên quan đến thực hiện công việc hoặc chức danh trong hợp đồng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2. Tiền lương trả cho người lao động được căn cứ theo tiền lương ghi trong hợp đồng lao động, năng suất lao động, khối lượng và chất lượng công việc mà người lao động đã thực hiện, bảo đảm mức lương trả cho người lao động làm công việc giản đơn nhất trong điều kiện lao động và thời giờ làm việc bình thường, hoàn thành định mức lao động hoặc công việc đã thỏa thuận (không bao gồm khoản tiền trả thêm khi người lao động làm thêm giờ, làm việc vào ban đêm) không được thấp hơn mức lương tối thiểu vùng do Chính phủ quy định.</w:t>
      </w:r>
    </w:p>
    <w:p w:rsidR="00D26798" w:rsidRPr="00D26798" w:rsidRDefault="00D26798" w:rsidP="00D26798">
      <w:pPr>
        <w:spacing w:after="120" w:line="240" w:lineRule="auto"/>
        <w:ind w:firstLine="720"/>
        <w:jc w:val="both"/>
        <w:rPr>
          <w:rFonts w:eastAsia="Times New Roman" w:cs="Times New Roman"/>
          <w:szCs w:val="24"/>
          <w:lang w:eastAsia="vi-VN"/>
        </w:rPr>
      </w:pPr>
      <w:bookmarkStart w:id="5" w:name="dieu_4"/>
      <w:r w:rsidRPr="00D26798">
        <w:rPr>
          <w:rFonts w:eastAsia="Times New Roman" w:cs="Times New Roman"/>
          <w:b/>
          <w:bCs/>
          <w:szCs w:val="24"/>
          <w:lang w:eastAsia="vi-VN"/>
        </w:rPr>
        <w:t>Điều 4. Hình thức trả lương</w:t>
      </w:r>
      <w:bookmarkEnd w:id="5"/>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Hình thức trả lương theo quy định tại Điều 22 Nghị định số 05/2015/NĐ-CP được hướng dẫn cụ thể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Tiền lương theo thời gian (theo tháng, theo tuần, theo ngày hoặc theo giờ) được trả cho người lao động hưởng lương theo thời gian, căn cứ vào thời gian làm việc thực tế theo tháng, tuần, ngày, giờ, cụ thể:</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Tiền lương tháng được trả cho một tháng làm việc xác định trên cơ sở hợp đồng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b) Tiền lương tuần được trả cho một tuần làm việc xác định trên cơ sở tiền lương tháng nhân với 12 tháng và chia cho 52 tuần;</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c) Tiền lương ngày được trả cho một ngày làm việc xác định trên cơ sở tiền lương tháng chia cho số ngày làm việc bình thường trong tháng (tính theo từng tháng dương lịch và bảo đảm cho người lao động được nghỉ tính bình quân 01 tháng ít nhất 04 ngày) theo quy định của pháp luật mà doanh nghiệp lựa chọn;</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d) Tiền lương giờ được trả cho một giờ làm việc xác định trên cơ sở tiền lương ngày chia cho số giờ làm việc bình thường trong ngày theo quy định tại Điều 104 của Bộ luật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lastRenderedPageBreak/>
        <w:t>2. Tiền lương theo sản phẩm được trả cho người lao động hưởng lương theo sản phẩm, căn cứ vào mức độ hoàn thành số lượng, chất lượng sản phẩm theo định mức lao động và đơn giá sản phẩm được giao.</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3. Tiền lương k</w:t>
      </w:r>
      <w:r w:rsidRPr="00D26798">
        <w:rPr>
          <w:rFonts w:eastAsia="Times New Roman" w:cs="Times New Roman"/>
          <w:szCs w:val="24"/>
          <w:shd w:val="solid" w:color="FFFFFF" w:fill="auto"/>
          <w:lang w:eastAsia="vi-VN"/>
        </w:rPr>
        <w:t>hoán</w:t>
      </w:r>
      <w:r w:rsidRPr="00D26798">
        <w:rPr>
          <w:rFonts w:eastAsia="Times New Roman" w:cs="Times New Roman"/>
          <w:szCs w:val="24"/>
          <w:lang w:eastAsia="vi-VN"/>
        </w:rPr>
        <w:t xml:space="preserve"> được trả cho người lao động hưởng lương k</w:t>
      </w:r>
      <w:r w:rsidRPr="00D26798">
        <w:rPr>
          <w:rFonts w:eastAsia="Times New Roman" w:cs="Times New Roman"/>
          <w:szCs w:val="24"/>
          <w:shd w:val="solid" w:color="FFFFFF" w:fill="auto"/>
          <w:lang w:eastAsia="vi-VN"/>
        </w:rPr>
        <w:t>hoán</w:t>
      </w:r>
      <w:r w:rsidRPr="00D26798">
        <w:rPr>
          <w:rFonts w:eastAsia="Times New Roman" w:cs="Times New Roman"/>
          <w:szCs w:val="24"/>
          <w:lang w:eastAsia="vi-VN"/>
        </w:rPr>
        <w:t>, căn cứ vào khối lượng, chất lượng công việc và thời gian phải hoàn thành.</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Căn cứ các hình thức trả lương nêu trên, tính chất công việc và điều kiện sản xuất, kinh doanh, người sử dụng lao động lựa chọn hình thức trả lương bảo đảm tiền lương được trả gắn với kết quả công việc, khuyến khích người lao động nâng cao hiệu quả, năng suất lao động. Việc lựa chọn hoặc thay đổi hình thức trả lương phải thể hiện trong hợp đồng lao động và thỏa ước lao động tập thể.</w:t>
      </w:r>
    </w:p>
    <w:p w:rsidR="00D26798" w:rsidRPr="00D26798" w:rsidRDefault="00D26798" w:rsidP="00D26798">
      <w:pPr>
        <w:spacing w:after="120" w:line="240" w:lineRule="auto"/>
        <w:ind w:firstLine="720"/>
        <w:jc w:val="both"/>
        <w:rPr>
          <w:rFonts w:eastAsia="Times New Roman" w:cs="Times New Roman"/>
          <w:szCs w:val="24"/>
          <w:lang w:eastAsia="vi-VN"/>
        </w:rPr>
      </w:pPr>
      <w:bookmarkStart w:id="6" w:name="dieu_5"/>
      <w:r w:rsidRPr="00D26798">
        <w:rPr>
          <w:rFonts w:eastAsia="Times New Roman" w:cs="Times New Roman"/>
          <w:b/>
          <w:bCs/>
          <w:szCs w:val="24"/>
          <w:lang w:eastAsia="vi-VN"/>
        </w:rPr>
        <w:t>Điều 5. Kỳ hạn trả lương đối với người hưởng lương tháng</w:t>
      </w:r>
      <w:bookmarkEnd w:id="6"/>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Kỳ hạn trả lương đối với người hưởng lương tháng theo quy định tại Điều 23 Nghị định số 05/2015/NĐ-CP được quy định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Người lao động hưởng lương tháng được trả tháng một lần hoặc nửa tháng một lần và được trả ngay trong tháng mà người lao động làm việc.</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2. Thời điểm trả lương do hai bên thỏa thuận và được ấn định vào một thời điểm cố định trong tháng.</w:t>
      </w:r>
    </w:p>
    <w:p w:rsidR="00D26798" w:rsidRPr="00D26798" w:rsidRDefault="00D26798" w:rsidP="00D26798">
      <w:pPr>
        <w:spacing w:after="120" w:line="240" w:lineRule="auto"/>
        <w:ind w:firstLine="720"/>
        <w:jc w:val="both"/>
        <w:rPr>
          <w:rFonts w:eastAsia="Times New Roman" w:cs="Times New Roman"/>
          <w:szCs w:val="24"/>
          <w:lang w:eastAsia="vi-VN"/>
        </w:rPr>
      </w:pPr>
      <w:bookmarkStart w:id="7" w:name="dieu_6"/>
      <w:r w:rsidRPr="00D26798">
        <w:rPr>
          <w:rFonts w:eastAsia="Times New Roman" w:cs="Times New Roman"/>
          <w:b/>
          <w:bCs/>
          <w:szCs w:val="24"/>
          <w:lang w:eastAsia="vi-VN"/>
        </w:rPr>
        <w:t>Điều 6. Tiền lương làm thêm giờ</w:t>
      </w:r>
      <w:bookmarkEnd w:id="7"/>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Trả lương khi người lao động làm thêm giờ theo quy định tại Khoản 1 Điều 25 Nghị định số 05/2015/NĐ-CP được quy định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Đối với người lao động hưởng lương theo thời gian, được trả lương làm thêm giờ khi làm việc ngoài thời giờ làm việc bình thường do người sử dụng lao động quy định theo Điều 104 của Bộ luật lao động và được tính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426"/>
        <w:gridCol w:w="398"/>
        <w:gridCol w:w="2452"/>
        <w:gridCol w:w="518"/>
        <w:gridCol w:w="1933"/>
        <w:gridCol w:w="355"/>
        <w:gridCol w:w="1640"/>
      </w:tblGrid>
      <w:tr w:rsidR="00D26798" w:rsidRPr="00D26798" w:rsidTr="00D26798">
        <w:tc>
          <w:tcPr>
            <w:tcW w:w="1426"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thêm giờ</w:t>
            </w:r>
          </w:p>
        </w:tc>
        <w:tc>
          <w:tcPr>
            <w:tcW w:w="398"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2452"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thực trả của ngày làm việc bình thường</w:t>
            </w:r>
          </w:p>
        </w:tc>
        <w:tc>
          <w:tcPr>
            <w:tcW w:w="518"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933"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150% hoặc 200% hoặc 300%</w:t>
            </w:r>
          </w:p>
        </w:tc>
        <w:tc>
          <w:tcPr>
            <w:tcW w:w="355"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64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giờ làm thêm</w:t>
            </w:r>
          </w:p>
        </w:tc>
      </w:tr>
    </w:tbl>
    <w:p w:rsidR="00D26798" w:rsidRPr="00D26798" w:rsidRDefault="00D26798" w:rsidP="00D26798">
      <w:pPr>
        <w:spacing w:after="120" w:line="240" w:lineRule="auto"/>
        <w:ind w:firstLine="720"/>
        <w:jc w:val="both"/>
        <w:rPr>
          <w:rFonts w:eastAsia="Times New Roman" w:cs="Times New Roman"/>
          <w:szCs w:val="24"/>
          <w:lang w:val="en-US" w:eastAsia="vi-VN"/>
        </w:rPr>
      </w:pPr>
      <w:r w:rsidRPr="00D26798">
        <w:rPr>
          <w:rFonts w:eastAsia="Times New Roman" w:cs="Times New Roman"/>
          <w:szCs w:val="24"/>
          <w:lang w:val="en-US" w:eastAsia="vi-VN"/>
        </w:rPr>
        <w:t>Trong đó:</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Tiền lương giờ thực trả của ngày làm việc bình thường được xác định trên cơ sở tiền lương thực trả theo công việc đang làm của tháng mà người lao động làm thêm giờ (trừ tiền lương làm thêm giờ, tiền lương trả thêm khi làm việc vào ban đêm) chia cho số giờ thực tế làm việc trong tháng (không kể số giờ làm thêm). Trường hợp trả lương theo ngày hoặc theo tuần, thì tiền lương giờ thực trả được xác định trên cơ sở tiền lương thực trả của ngày hoặc tuần làm việc đó (trừ tiền lương làm thêm giờ, tiền lương trả thêm khi làm việc vào ban đêm) chia cho số giờ thực tế làm việc trong ngày hoặc trong tuần (không kể số giờ làm thêm);</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b) Mức ít nhất bằng 150% so với tiền lương giờ thực trả của ngày làm việc bình thường, áp dụng đối với giờ làm thêm vào ngày thường;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c) Mức ít nhất bằng 200% so với tiền lương giờ thực trả của ngày làm việc bình thường, áp dụng đối với giờ làm thêm vào ngày nghỉ hằng tuần;</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d) Mức ít nhất bằng 300% so với tiền lương giờ thực trả của ngày làm việc bình thường, áp dụng đối với giờ làm thêm vào ngày nghỉ lễ, tết, ngày nghỉ có hưởng lương, chưa kể tiền lương của ngày nghỉ lễ, tết, ngày nghỉ có hưởng lương theo quy định của Bộ luật Lao động, đối với người lao động hưởng lương theo ngày.</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lastRenderedPageBreak/>
        <w:t>Người lao động hưởng lương ngày là những người có tiền lương thỏa thuận ghi trong hợp đồng lao động theo ngày và chưa bao gồm tiền lương của ngày nghỉ lễ, tết, ngày nghỉ có hưởng lương theo quy định của Bộ luật Lao động.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2. Đối với người lao động hưởng lương theo sản phẩm, được trả lương làm thêm giờ khi người lao động và người sử dụng lao động thỏa thuận làm việc ngoài thời giờ làm việc bình thường để làm thêm số lượng, khối lượng sản phẩm, công việc ngoài số lượng, khối lượng sản phẩm, công việc theo định mức lao động đã thỏa thuận và được tính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1426"/>
        <w:gridCol w:w="398"/>
        <w:gridCol w:w="2452"/>
        <w:gridCol w:w="518"/>
        <w:gridCol w:w="1933"/>
        <w:gridCol w:w="355"/>
        <w:gridCol w:w="1640"/>
      </w:tblGrid>
      <w:tr w:rsidR="00D26798" w:rsidRPr="00D26798" w:rsidTr="00D26798">
        <w:tc>
          <w:tcPr>
            <w:tcW w:w="1426"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thêm giờ</w:t>
            </w:r>
          </w:p>
        </w:tc>
        <w:tc>
          <w:tcPr>
            <w:tcW w:w="398"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2452"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của ngày làm việc bình thường</w:t>
            </w:r>
          </w:p>
        </w:tc>
        <w:tc>
          <w:tcPr>
            <w:tcW w:w="518"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933"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150% hoặc 200% hoặc 300%</w:t>
            </w:r>
          </w:p>
        </w:tc>
        <w:tc>
          <w:tcPr>
            <w:tcW w:w="355"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640" w:type="dxa"/>
            <w:tcBorders>
              <w:top w:val="nil"/>
              <w:left w:val="nil"/>
              <w:bottom w:val="nil"/>
              <w:right w:val="nil"/>
            </w:tcBorders>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sản phẩm làm thêm</w:t>
            </w:r>
          </w:p>
        </w:tc>
      </w:tr>
    </w:tbl>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Trong đó:</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Mức ít nhất bằng 150% so với đơn giá tiền lương sản phẩm của ngày làm việc bình thường, áp dụng đối với sản phẩm làm thêm vào ngày thường;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b) Mức ít nhất bằng 200% so với đơn giá tiền lương sản phẩm của ngày làm việc bình thường, áp dụng đối với sản phẩm làm thêm vào ngày nghỉ hằng tuần;</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c) Mức ít nhất bằng 300% so với đơn giá tiền lương sản phẩm của ngày làm việc bình thường, áp dụng đối với sản phẩm làm thêm vào ngày nghỉ lễ, tết, ngày nghỉ có hưởng lương.</w:t>
      </w:r>
    </w:p>
    <w:p w:rsidR="00D26798" w:rsidRPr="00D26798" w:rsidRDefault="00D26798" w:rsidP="00D26798">
      <w:pPr>
        <w:spacing w:after="120" w:line="240" w:lineRule="auto"/>
        <w:ind w:firstLine="720"/>
        <w:jc w:val="both"/>
        <w:rPr>
          <w:rFonts w:eastAsia="Times New Roman" w:cs="Times New Roman"/>
          <w:szCs w:val="24"/>
          <w:lang w:eastAsia="vi-VN"/>
        </w:rPr>
      </w:pPr>
      <w:bookmarkStart w:id="8" w:name="dieu_7"/>
      <w:r w:rsidRPr="00D26798">
        <w:rPr>
          <w:rFonts w:eastAsia="Times New Roman" w:cs="Times New Roman"/>
          <w:b/>
          <w:bCs/>
          <w:szCs w:val="24"/>
          <w:lang w:eastAsia="vi-VN"/>
        </w:rPr>
        <w:t>Điều 7. Tiền lương làm việc vào ban đêm</w:t>
      </w:r>
      <w:bookmarkEnd w:id="8"/>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Người lao động làm việc vào ban đêm theo quy định tại Khoản 3 Điều 25 Nghị định số 05/2015/NĐ-CP được trả tiền lương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Đối với người lao động hưởng lương theo thời gian, tiền lương làm việc vào ban đêm được tính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369"/>
        <w:gridCol w:w="333"/>
        <w:gridCol w:w="1890"/>
        <w:gridCol w:w="453"/>
        <w:gridCol w:w="1770"/>
        <w:gridCol w:w="390"/>
        <w:gridCol w:w="972"/>
        <w:gridCol w:w="327"/>
        <w:gridCol w:w="1218"/>
      </w:tblGrid>
      <w:tr w:rsidR="00D26798" w:rsidRPr="00D26798" w:rsidTr="00D26798">
        <w:tc>
          <w:tcPr>
            <w:tcW w:w="1369"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việc vào ban đêm</w:t>
            </w:r>
          </w:p>
        </w:tc>
        <w:tc>
          <w:tcPr>
            <w:tcW w:w="333"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89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thực trả của ngày làm việc bình thường</w:t>
            </w:r>
          </w:p>
        </w:tc>
        <w:tc>
          <w:tcPr>
            <w:tcW w:w="453"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77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thực trả của ngày làm việc bình thường</w:t>
            </w:r>
          </w:p>
        </w:tc>
        <w:tc>
          <w:tcPr>
            <w:tcW w:w="39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972"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30%</w:t>
            </w:r>
          </w:p>
        </w:tc>
        <w:tc>
          <w:tcPr>
            <w:tcW w:w="327"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218"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giờ làm việc vào ban đêm</w:t>
            </w:r>
          </w:p>
        </w:tc>
      </w:tr>
    </w:tbl>
    <w:p w:rsidR="00D26798" w:rsidRPr="00D26798" w:rsidRDefault="00D26798" w:rsidP="00D26798">
      <w:pPr>
        <w:spacing w:after="0" w:line="240" w:lineRule="auto"/>
        <w:rPr>
          <w:rFonts w:eastAsia="Times New Roman" w:cs="Times New Roman"/>
          <w:szCs w:val="24"/>
          <w:lang w:eastAsia="vi-VN"/>
        </w:rPr>
      </w:pPr>
      <w:r w:rsidRPr="00D26798">
        <w:rPr>
          <w:rFonts w:eastAsia="Times New Roman" w:cs="Times New Roman"/>
          <w:szCs w:val="24"/>
          <w:lang w:eastAsia="vi-VN"/>
        </w:rPr>
        <w:t>Trong đó: Tiền lương giờ thực trả của ngày làm việc bình thường được xác định theo điểm a, Khoản 1 Điều 6 Thông tư này.</w:t>
      </w:r>
    </w:p>
    <w:p w:rsidR="00D26798" w:rsidRPr="00D26798" w:rsidRDefault="00D26798" w:rsidP="00D26798">
      <w:pPr>
        <w:spacing w:after="0" w:line="240" w:lineRule="auto"/>
        <w:rPr>
          <w:rFonts w:eastAsia="Times New Roman" w:cs="Times New Roman"/>
          <w:szCs w:val="24"/>
          <w:lang w:eastAsia="vi-VN"/>
        </w:rPr>
      </w:pPr>
      <w:r w:rsidRPr="00D26798">
        <w:rPr>
          <w:rFonts w:eastAsia="Times New Roman" w:cs="Times New Roman"/>
          <w:szCs w:val="24"/>
          <w:lang w:eastAsia="vi-VN"/>
        </w:rPr>
        <w:t>2. Đối với người lao động hưởng lương theo sản phẩm, tiền lương làm việc vào ban đêm được tính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369"/>
        <w:gridCol w:w="333"/>
        <w:gridCol w:w="1890"/>
        <w:gridCol w:w="453"/>
        <w:gridCol w:w="1770"/>
        <w:gridCol w:w="390"/>
        <w:gridCol w:w="972"/>
        <w:gridCol w:w="327"/>
        <w:gridCol w:w="1218"/>
      </w:tblGrid>
      <w:tr w:rsidR="00D26798" w:rsidRPr="00D26798" w:rsidTr="00D26798">
        <w:tc>
          <w:tcPr>
            <w:tcW w:w="1369"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việc vào ban đêm</w:t>
            </w:r>
          </w:p>
        </w:tc>
        <w:tc>
          <w:tcPr>
            <w:tcW w:w="333"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89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của ngày làm việc bình thường</w:t>
            </w:r>
          </w:p>
        </w:tc>
        <w:tc>
          <w:tcPr>
            <w:tcW w:w="453"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77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của ngày làm việc bình thường</w:t>
            </w:r>
          </w:p>
        </w:tc>
        <w:tc>
          <w:tcPr>
            <w:tcW w:w="39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972"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30%</w:t>
            </w:r>
          </w:p>
        </w:tc>
        <w:tc>
          <w:tcPr>
            <w:tcW w:w="327"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218"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sản phẩm làm vào ban đêm</w:t>
            </w:r>
          </w:p>
        </w:tc>
      </w:tr>
    </w:tbl>
    <w:p w:rsidR="00D26798" w:rsidRPr="00D26798" w:rsidRDefault="00D26798" w:rsidP="00D26798">
      <w:pPr>
        <w:spacing w:after="120" w:line="240" w:lineRule="auto"/>
        <w:ind w:firstLine="720"/>
        <w:jc w:val="both"/>
        <w:rPr>
          <w:rFonts w:eastAsia="Times New Roman" w:cs="Times New Roman"/>
          <w:szCs w:val="24"/>
          <w:lang w:eastAsia="vi-VN"/>
        </w:rPr>
      </w:pPr>
      <w:bookmarkStart w:id="9" w:name="dieu_8"/>
      <w:r w:rsidRPr="00D26798">
        <w:rPr>
          <w:rFonts w:eastAsia="Times New Roman" w:cs="Times New Roman"/>
          <w:b/>
          <w:bCs/>
          <w:szCs w:val="24"/>
          <w:lang w:eastAsia="vi-VN"/>
        </w:rPr>
        <w:t>Điều 8. Tiền lương làm thêm giờ vào ban đêm</w:t>
      </w:r>
      <w:bookmarkEnd w:id="9"/>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Trả lương khi người lao động làm thêm giờ vào ban đêm theo quy định tại Khoản 4 Điều 25 Nghị định số 05/2015/NĐ-CP được quy định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Đối với người lao động hưởng lương theo thời gian, tiền lương làm thêm giờ vào ban đêm được tính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302"/>
        <w:gridCol w:w="324"/>
        <w:gridCol w:w="1786"/>
        <w:gridCol w:w="431"/>
        <w:gridCol w:w="1573"/>
        <w:gridCol w:w="375"/>
        <w:gridCol w:w="1620"/>
        <w:gridCol w:w="285"/>
        <w:gridCol w:w="1083"/>
      </w:tblGrid>
      <w:tr w:rsidR="00D26798" w:rsidRPr="00D26798" w:rsidTr="00D26798">
        <w:tc>
          <w:tcPr>
            <w:tcW w:w="1302"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thêm giờ vào ban đêm</w:t>
            </w:r>
          </w:p>
        </w:tc>
        <w:tc>
          <w:tcPr>
            <w:tcW w:w="324"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786"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thực trả của ngày làm việc bình thường</w:t>
            </w:r>
          </w:p>
        </w:tc>
        <w:tc>
          <w:tcPr>
            <w:tcW w:w="431"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573"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150% hoặc 200% hoặc 300%</w:t>
            </w:r>
          </w:p>
        </w:tc>
        <w:tc>
          <w:tcPr>
            <w:tcW w:w="375"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620"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thực trả của ngày làm việc bình thường</w:t>
            </w:r>
          </w:p>
        </w:tc>
        <w:tc>
          <w:tcPr>
            <w:tcW w:w="285"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083"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30%</w:t>
            </w:r>
          </w:p>
        </w:tc>
      </w:tr>
    </w:tbl>
    <w:p w:rsidR="00D26798" w:rsidRPr="00D26798" w:rsidRDefault="00D26798" w:rsidP="00D26798">
      <w:pPr>
        <w:spacing w:after="0" w:line="240" w:lineRule="auto"/>
        <w:rPr>
          <w:rFonts w:eastAsia="Times New Roman" w:cs="Times New Roman"/>
          <w:szCs w:val="24"/>
          <w:lang w:val="en-US" w:eastAsia="vi-VN"/>
        </w:rPr>
      </w:pPr>
      <w:r w:rsidRPr="00D26798">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963"/>
        <w:gridCol w:w="3774"/>
        <w:gridCol w:w="396"/>
        <w:gridCol w:w="1184"/>
      </w:tblGrid>
      <w:tr w:rsidR="00D26798" w:rsidRPr="00D26798" w:rsidTr="00D26798">
        <w:tc>
          <w:tcPr>
            <w:tcW w:w="963"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lastRenderedPageBreak/>
              <w:t>+ 20% x</w:t>
            </w:r>
          </w:p>
        </w:tc>
        <w:tc>
          <w:tcPr>
            <w:tcW w:w="3774" w:type="dxa"/>
            <w:tcBorders>
              <w:top w:val="nil"/>
              <w:left w:val="nil"/>
              <w:bottom w:val="nil"/>
              <w:right w:val="single" w:sz="8" w:space="0" w:color="auto"/>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giờ vào ban ngày của ngày làm việc bình thường hoặc của ngày nghỉ hằng tuần hoặc của ngày nghỉ lễ, tết, ngày nghỉ có hưởng lương</w:t>
            </w:r>
          </w:p>
        </w:tc>
        <w:tc>
          <w:tcPr>
            <w:tcW w:w="396"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184"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giờ làm thêm vào ban đêm</w:t>
            </w:r>
          </w:p>
        </w:tc>
      </w:tr>
    </w:tbl>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Trong đó:</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Tiền lương giờ thực trả của ngày làm việc bình thường được xác định theo điểm a, Khoản 1 Điều 6 Thông tư này;</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b) Tiền lương giờ vào ban ngày của ngày làm việc bình thường hoặc của ngày nghỉ hằng tuần hoặc của ngày nghỉ lễ, tết, ngày nghỉ có hưởng lương được xác định như sau:</w:t>
      </w:r>
    </w:p>
    <w:p w:rsidR="00D26798" w:rsidRPr="00D26798" w:rsidRDefault="00D26798" w:rsidP="00D26798">
      <w:pPr>
        <w:spacing w:after="120" w:line="240" w:lineRule="auto"/>
        <w:ind w:firstLine="720"/>
        <w:jc w:val="both"/>
        <w:rPr>
          <w:rFonts w:eastAsia="Times New Roman" w:cs="Times New Roman"/>
          <w:szCs w:val="24"/>
          <w:lang w:val="en-US" w:eastAsia="vi-VN"/>
        </w:rPr>
      </w:pPr>
      <w:r w:rsidRPr="00D26798">
        <w:rPr>
          <w:rFonts w:eastAsia="Times New Roman" w:cs="Times New Roman"/>
          <w:szCs w:val="24"/>
          <w:lang w:eastAsia="vi-VN"/>
        </w:rPr>
        <w:t>- Tiền lương giờ vào ban ngày của ngày làm việc bình thường, được tính ít nhất bằng 100% so với tiền lương giờ thực trả của ngày làm việc bình thường đối với trường hợp người lao động không làm thêm giờ vào ban ngày của ngày đó (trước khi làm thêm giờ vào ban đêm); ít nhất bằng 150% so với tiền lương giờ thực trả của ngày làm việc bình thường đối với trường hợp người lao động có làm thêm giờ vào ban ngày của ngày đó (trước khi làm thêm giờ vào ban đêm).</w:t>
      </w:r>
    </w:p>
    <w:p w:rsidR="00D26798" w:rsidRPr="00D26798" w:rsidRDefault="00D26798" w:rsidP="00D26798">
      <w:pPr>
        <w:spacing w:after="120" w:line="240" w:lineRule="auto"/>
        <w:ind w:firstLine="720"/>
        <w:jc w:val="both"/>
        <w:rPr>
          <w:rFonts w:eastAsia="Times New Roman" w:cs="Times New Roman"/>
          <w:szCs w:val="24"/>
          <w:lang w:val="en-US" w:eastAsia="vi-VN"/>
        </w:rPr>
      </w:pPr>
      <w:r w:rsidRPr="00D26798">
        <w:rPr>
          <w:rFonts w:eastAsia="Times New Roman" w:cs="Times New Roman"/>
          <w:szCs w:val="24"/>
          <w:lang w:eastAsia="vi-VN"/>
        </w:rPr>
        <w:t>- Tiền lương giờ vào ban ngày của ngày nghỉ hằng tuần, được tính ít nhất bằng 200% so với tiền lương giờ thực trả của ngày làm việc bình thường.</w:t>
      </w:r>
    </w:p>
    <w:p w:rsidR="00D26798" w:rsidRPr="00D26798" w:rsidRDefault="00D26798" w:rsidP="00D26798">
      <w:pPr>
        <w:spacing w:after="120" w:line="240" w:lineRule="auto"/>
        <w:ind w:firstLine="720"/>
        <w:jc w:val="both"/>
        <w:rPr>
          <w:rFonts w:eastAsia="Times New Roman" w:cs="Times New Roman"/>
          <w:szCs w:val="24"/>
          <w:lang w:val="en-US" w:eastAsia="vi-VN"/>
        </w:rPr>
      </w:pPr>
      <w:r w:rsidRPr="00D26798">
        <w:rPr>
          <w:rFonts w:eastAsia="Times New Roman" w:cs="Times New Roman"/>
          <w:szCs w:val="24"/>
          <w:lang w:eastAsia="vi-VN"/>
        </w:rPr>
        <w:t>- Tiền lương giờ vào ban ngày của ngày nghỉ lễ, tết, ngày nghỉ có hưởng lương, được tính ít nhất bằng 300% so với tiền lương giờ thực trả của ngày làm việc bình thường.</w:t>
      </w:r>
    </w:p>
    <w:p w:rsidR="00D26798" w:rsidRPr="00D26798" w:rsidRDefault="00D26798" w:rsidP="00D26798">
      <w:pPr>
        <w:spacing w:after="120" w:line="240" w:lineRule="auto"/>
        <w:ind w:firstLine="720"/>
        <w:jc w:val="both"/>
        <w:rPr>
          <w:rFonts w:eastAsia="Times New Roman" w:cs="Times New Roman"/>
          <w:szCs w:val="24"/>
          <w:lang w:val="en-US" w:eastAsia="vi-VN"/>
        </w:rPr>
      </w:pPr>
      <w:r w:rsidRPr="00D26798">
        <w:rPr>
          <w:rFonts w:eastAsia="Times New Roman" w:cs="Times New Roman"/>
          <w:szCs w:val="24"/>
          <w:lang w:eastAsia="vi-VN"/>
        </w:rPr>
        <w:t>2. Đối với người lao động hưởng lương theo sản phẩm, tiền lương làm thêm giờ vào ban đêm được tính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1302"/>
        <w:gridCol w:w="324"/>
        <w:gridCol w:w="1909"/>
        <w:gridCol w:w="431"/>
        <w:gridCol w:w="1678"/>
        <w:gridCol w:w="375"/>
        <w:gridCol w:w="1791"/>
        <w:gridCol w:w="285"/>
        <w:gridCol w:w="783"/>
      </w:tblGrid>
      <w:tr w:rsidR="00D26798" w:rsidRPr="00D26798" w:rsidTr="00D26798">
        <w:tc>
          <w:tcPr>
            <w:tcW w:w="1302"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Tiền lương làm thêm giờ vào ban đêm</w:t>
            </w:r>
          </w:p>
        </w:tc>
        <w:tc>
          <w:tcPr>
            <w:tcW w:w="324" w:type="dxa"/>
            <w:tcBorders>
              <w:top w:val="nil"/>
              <w:left w:val="nil"/>
              <w:bottom w:val="nil"/>
              <w:right w:val="single" w:sz="8" w:space="0" w:color="auto"/>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909"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của ngày làm việc bình thường</w:t>
            </w:r>
          </w:p>
        </w:tc>
        <w:tc>
          <w:tcPr>
            <w:tcW w:w="431"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678"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150% hoặc 200% hoặc 300%</w:t>
            </w:r>
          </w:p>
        </w:tc>
        <w:tc>
          <w:tcPr>
            <w:tcW w:w="375"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w:t>
            </w:r>
          </w:p>
        </w:tc>
        <w:tc>
          <w:tcPr>
            <w:tcW w:w="1791"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của ngày làm việc bình thường</w:t>
            </w:r>
          </w:p>
        </w:tc>
        <w:tc>
          <w:tcPr>
            <w:tcW w:w="285" w:type="dxa"/>
            <w:tcBorders>
              <w:top w:val="nil"/>
              <w:left w:val="nil"/>
              <w:bottom w:val="nil"/>
              <w:right w:val="nil"/>
            </w:tcBorders>
            <w:tcMar>
              <w:top w:w="0" w:type="dxa"/>
              <w:left w:w="58" w:type="dxa"/>
              <w:bottom w:w="0" w:type="dxa"/>
              <w:right w:w="5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627" w:type="dxa"/>
            <w:tcBorders>
              <w:top w:val="nil"/>
              <w:left w:val="nil"/>
              <w:bottom w:val="nil"/>
              <w:right w:val="nil"/>
            </w:tcBorders>
            <w:tcMar>
              <w:top w:w="0" w:type="dxa"/>
              <w:left w:w="58" w:type="dxa"/>
              <w:bottom w:w="0" w:type="dxa"/>
              <w:right w:w="58" w:type="dxa"/>
            </w:tcMa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Mức ít  nhất 30%</w:t>
            </w:r>
          </w:p>
        </w:tc>
      </w:tr>
    </w:tbl>
    <w:p w:rsidR="00D26798" w:rsidRPr="00D26798" w:rsidRDefault="00D26798" w:rsidP="00D26798">
      <w:pPr>
        <w:spacing w:after="0" w:line="240" w:lineRule="auto"/>
        <w:rPr>
          <w:rFonts w:eastAsia="Times New Roman" w:cs="Times New Roman"/>
          <w:szCs w:val="24"/>
          <w:lang w:val="en-US" w:eastAsia="vi-VN"/>
        </w:rPr>
      </w:pPr>
      <w:r w:rsidRPr="00D26798">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963"/>
        <w:gridCol w:w="3567"/>
        <w:gridCol w:w="396"/>
        <w:gridCol w:w="1184"/>
      </w:tblGrid>
      <w:tr w:rsidR="00D26798" w:rsidRPr="00D26798" w:rsidTr="00D26798">
        <w:tc>
          <w:tcPr>
            <w:tcW w:w="963"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+ 20% x</w:t>
            </w:r>
          </w:p>
        </w:tc>
        <w:tc>
          <w:tcPr>
            <w:tcW w:w="3567" w:type="dxa"/>
            <w:tcBorders>
              <w:top w:val="nil"/>
              <w:left w:val="nil"/>
              <w:bottom w:val="nil"/>
              <w:right w:val="single" w:sz="8" w:space="0" w:color="auto"/>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Đơn giá tiền lương sản phẩm vào ban ngày của ngày làm việc bình thường hoặc của ngày nghỉ hằng tuần hoặc của ngày nghỉ lễ, tết, ngày nghỉ có hưởng lương</w:t>
            </w:r>
          </w:p>
        </w:tc>
        <w:tc>
          <w:tcPr>
            <w:tcW w:w="396"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x</w:t>
            </w:r>
          </w:p>
        </w:tc>
        <w:tc>
          <w:tcPr>
            <w:tcW w:w="1184" w:type="dxa"/>
            <w:tcBorders>
              <w:top w:val="nil"/>
              <w:left w:val="nil"/>
              <w:bottom w:val="nil"/>
              <w:right w:val="nil"/>
            </w:tcBorders>
            <w:tcMar>
              <w:top w:w="0" w:type="dxa"/>
              <w:left w:w="108" w:type="dxa"/>
              <w:bottom w:w="0" w:type="dxa"/>
              <w:right w:w="108" w:type="dxa"/>
            </w:tcMar>
            <w:vAlign w:val="cente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szCs w:val="24"/>
                <w:lang w:eastAsia="vi-VN"/>
              </w:rPr>
              <w:t>Số sản phẩm làm thêm vào ban đêm</w:t>
            </w:r>
          </w:p>
        </w:tc>
      </w:tr>
    </w:tbl>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Trong đó:</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a) Đơn giá tiền lương sản phẩm vào ban ngày của ngày làm việc bình thường hoặc của ngày nghỉ hằng tuần hoặc của ngày nghỉ lễ, tết, ngày nghỉ có hưởng lương được xác định như sau:</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Đơn giá tiền lương sản phẩm vào ban ngày của ngày làm việc bình thường, được tính ít nhất bằng 100% so với đơn giá tiền lương sản phẩm của ngày làm việc bình thường đối với trường hợp người lao động không làm thêm giờ vào ban ngày của ngày đó (trước khi làm thêm giờ vào ban đêm); ít nhất bằng 150% so với đơn giá tiền lương sản phẩm của ngày làm việc bình thường đối với trường hợp người lao động có làm thêm giờ vào ban ngày của ngày đó (trước khi làm thêm giờ vào ban đêm);</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Đơn giá tiền lương sản phẩm vào ban ngày của ngày nghỉ hằng tuần, được tính ít nhất bằng 200% so với đơn giá sản phẩm của ngày làm việc bình thường.</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lastRenderedPageBreak/>
        <w:t>- Đơn giá sản phẩm vào ban ngày của ngày nghỉ lễ, tết, ngày nghỉ có hưởng lương, được tính ít nhất bằng 300% so với đơn giá sản phẩm của ngày làm việc bình thường.</w:t>
      </w:r>
    </w:p>
    <w:p w:rsidR="00D26798" w:rsidRPr="00D26798" w:rsidRDefault="00D26798" w:rsidP="00D26798">
      <w:pPr>
        <w:spacing w:after="120" w:line="240" w:lineRule="auto"/>
        <w:ind w:firstLine="720"/>
        <w:jc w:val="both"/>
        <w:rPr>
          <w:rFonts w:eastAsia="Times New Roman" w:cs="Times New Roman"/>
          <w:szCs w:val="24"/>
          <w:lang w:eastAsia="vi-VN"/>
        </w:rPr>
      </w:pPr>
      <w:bookmarkStart w:id="10" w:name="dieu_9"/>
      <w:r w:rsidRPr="00D26798">
        <w:rPr>
          <w:rFonts w:eastAsia="Times New Roman" w:cs="Times New Roman"/>
          <w:b/>
          <w:bCs/>
          <w:szCs w:val="24"/>
          <w:lang w:eastAsia="vi-VN"/>
        </w:rPr>
        <w:t>Điều 9. Hiệu lực thi hành</w:t>
      </w:r>
      <w:bookmarkEnd w:id="10"/>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1. Thông tư này có hiệu lực thi hành kể từ ngày 08 tháng 8 năm 2015.</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2. Các chế độ tại Thông tư này được thực hiện kể từ ngày Nghị định số 05/2015/NĐ-CP ngày 12 tháng 01 năm 2015 của Chính phủ quy định chi tiết và hướng dẫn thi hành một số nội dung của Bộ luật Lao động có hiệu lực thi hành.</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 xml:space="preserve">3. Bộ trưởng, Thủ trưởng cơ quan ngang Bộ, Thủ trưởng cơ quan thuộc Chính phủ, Chủ tịch </w:t>
      </w:r>
      <w:r w:rsidRPr="00D26798">
        <w:rPr>
          <w:rFonts w:eastAsia="Times New Roman" w:cs="Times New Roman"/>
          <w:szCs w:val="24"/>
          <w:shd w:val="solid" w:color="FFFFFF" w:fill="auto"/>
          <w:lang w:eastAsia="vi-VN"/>
        </w:rPr>
        <w:t>Ủy ban</w:t>
      </w:r>
      <w:r w:rsidRPr="00D26798">
        <w:rPr>
          <w:rFonts w:eastAsia="Times New Roman" w:cs="Times New Roman"/>
          <w:szCs w:val="24"/>
          <w:lang w:eastAsia="vi-VN"/>
        </w:rPr>
        <w:t xml:space="preserve"> nhân dân tỉnh, thành phố trực thuộc Trung ương có trách nhiệm chỉ đạo, đôn đốc, kiểm tra thực hiện các quy định tại Thông tư này.</w:t>
      </w:r>
    </w:p>
    <w:p w:rsidR="00D26798" w:rsidRPr="00D26798" w:rsidRDefault="00D26798" w:rsidP="00D26798">
      <w:pPr>
        <w:spacing w:after="120" w:line="240" w:lineRule="auto"/>
        <w:ind w:firstLine="720"/>
        <w:jc w:val="both"/>
        <w:rPr>
          <w:rFonts w:eastAsia="Times New Roman" w:cs="Times New Roman"/>
          <w:szCs w:val="24"/>
          <w:lang w:eastAsia="vi-VN"/>
        </w:rPr>
      </w:pPr>
      <w:r w:rsidRPr="00D26798">
        <w:rPr>
          <w:rFonts w:eastAsia="Times New Roman" w:cs="Times New Roman"/>
          <w:szCs w:val="24"/>
          <w:lang w:eastAsia="vi-VN"/>
        </w:rPr>
        <w:t>Trong quá trình thực hiện nếu có vướng mắc, đề nghị cơ quan, đơn vị và doanh nghiệp phản ánh về Bộ Lao động - Thương binh và Xã hội để hướng dẫn bổ sung kịp thời./.</w:t>
      </w:r>
    </w:p>
    <w:tbl>
      <w:tblPr>
        <w:tblW w:w="0" w:type="auto"/>
        <w:tblInd w:w="198" w:type="dxa"/>
        <w:tblBorders>
          <w:insideH w:val="nil"/>
          <w:insideV w:val="nil"/>
        </w:tblBorders>
        <w:tblCellMar>
          <w:left w:w="0" w:type="dxa"/>
          <w:right w:w="0" w:type="dxa"/>
        </w:tblCellMar>
        <w:tblLook w:val="04A0" w:firstRow="1" w:lastRow="0" w:firstColumn="1" w:lastColumn="0" w:noHBand="0" w:noVBand="1"/>
      </w:tblPr>
      <w:tblGrid>
        <w:gridCol w:w="4256"/>
        <w:gridCol w:w="4572"/>
      </w:tblGrid>
      <w:tr w:rsidR="00D26798" w:rsidRPr="00D26798" w:rsidTr="00D26798">
        <w:tc>
          <w:tcPr>
            <w:tcW w:w="4510" w:type="dxa"/>
            <w:tcBorders>
              <w:top w:val="nil"/>
              <w:left w:val="nil"/>
              <w:bottom w:val="nil"/>
              <w:right w:val="nil"/>
            </w:tcBorders>
            <w:tcMar>
              <w:top w:w="0" w:type="dxa"/>
              <w:left w:w="108" w:type="dxa"/>
              <w:bottom w:w="0" w:type="dxa"/>
              <w:right w:w="108" w:type="dxa"/>
            </w:tcMar>
            <w:hideMark/>
          </w:tcPr>
          <w:p w:rsidR="00D26798" w:rsidRPr="00D26798" w:rsidRDefault="00D26798" w:rsidP="00D26798">
            <w:pPr>
              <w:spacing w:after="0" w:line="240" w:lineRule="auto"/>
              <w:rPr>
                <w:rFonts w:eastAsia="Times New Roman" w:cs="Times New Roman"/>
                <w:szCs w:val="24"/>
                <w:lang w:eastAsia="vi-VN"/>
              </w:rPr>
            </w:pPr>
            <w:r w:rsidRPr="00D26798">
              <w:rPr>
                <w:rFonts w:eastAsia="Times New Roman" w:cs="Times New Roman"/>
                <w:b/>
                <w:bCs/>
                <w:i/>
                <w:iCs/>
                <w:szCs w:val="24"/>
                <w:lang w:eastAsia="vi-VN"/>
              </w:rPr>
              <w:t> Nơi nhận:</w:t>
            </w:r>
            <w:r w:rsidRPr="00D26798">
              <w:rPr>
                <w:rFonts w:eastAsia="Times New Roman" w:cs="Times New Roman"/>
                <w:b/>
                <w:bCs/>
                <w:i/>
                <w:iCs/>
                <w:szCs w:val="24"/>
                <w:lang w:eastAsia="vi-VN"/>
              </w:rPr>
              <w:br/>
            </w:r>
            <w:r w:rsidRPr="00D26798">
              <w:rPr>
                <w:rFonts w:eastAsia="Times New Roman" w:cs="Times New Roman"/>
                <w:szCs w:val="24"/>
                <w:lang w:eastAsia="vi-VN"/>
              </w:rPr>
              <w:t>- Thủ tướng và các Phó Thủ tướng Chính phủ;</w:t>
            </w:r>
            <w:r w:rsidRPr="00D26798">
              <w:rPr>
                <w:rFonts w:eastAsia="Times New Roman" w:cs="Times New Roman"/>
                <w:szCs w:val="24"/>
                <w:lang w:eastAsia="vi-VN"/>
              </w:rPr>
              <w:br/>
              <w:t>- Văn phòng Quốc hội;</w:t>
            </w:r>
            <w:r w:rsidRPr="00D26798">
              <w:rPr>
                <w:rFonts w:eastAsia="Times New Roman" w:cs="Times New Roman"/>
                <w:szCs w:val="24"/>
                <w:lang w:eastAsia="vi-VN"/>
              </w:rPr>
              <w:br/>
              <w:t>- Văn phòng Chủ tịch nước;</w:t>
            </w:r>
            <w:r w:rsidRPr="00D26798">
              <w:rPr>
                <w:rFonts w:eastAsia="Times New Roman" w:cs="Times New Roman"/>
                <w:szCs w:val="24"/>
                <w:lang w:eastAsia="vi-VN"/>
              </w:rPr>
              <w:br/>
              <w:t>- Văn phòng Chính phủ;</w:t>
            </w:r>
            <w:r w:rsidRPr="00D26798">
              <w:rPr>
                <w:rFonts w:eastAsia="Times New Roman" w:cs="Times New Roman"/>
                <w:szCs w:val="24"/>
                <w:lang w:eastAsia="vi-VN"/>
              </w:rPr>
              <w:br/>
              <w:t>- Văn phòng Trung ương và các Ban của Đảng;</w:t>
            </w:r>
            <w:r w:rsidRPr="00D26798">
              <w:rPr>
                <w:rFonts w:eastAsia="Times New Roman" w:cs="Times New Roman"/>
                <w:szCs w:val="24"/>
                <w:lang w:eastAsia="vi-VN"/>
              </w:rPr>
              <w:br/>
              <w:t>- Các Bộ, các cơ quan ngang Bộ, cơ quan trực thuộc CP;</w:t>
            </w:r>
            <w:r w:rsidRPr="00D26798">
              <w:rPr>
                <w:rFonts w:eastAsia="Times New Roman" w:cs="Times New Roman"/>
                <w:szCs w:val="24"/>
                <w:lang w:eastAsia="vi-VN"/>
              </w:rPr>
              <w:br/>
              <w:t>- Văn phòng BCĐ TW về phòng, chống tham nhũng;</w:t>
            </w:r>
            <w:r w:rsidRPr="00D26798">
              <w:rPr>
                <w:rFonts w:eastAsia="Times New Roman" w:cs="Times New Roman"/>
                <w:szCs w:val="24"/>
                <w:lang w:eastAsia="vi-VN"/>
              </w:rPr>
              <w:br/>
              <w:t>- HĐND, UBND Tỉnh, thành phố trực thuộc TW;</w:t>
            </w:r>
            <w:r w:rsidRPr="00D26798">
              <w:rPr>
                <w:rFonts w:eastAsia="Times New Roman" w:cs="Times New Roman"/>
                <w:szCs w:val="24"/>
                <w:lang w:eastAsia="vi-VN"/>
              </w:rPr>
              <w:br/>
              <w:t>- Tòa án nhân dân tối cao;</w:t>
            </w:r>
            <w:r w:rsidRPr="00D26798">
              <w:rPr>
                <w:rFonts w:eastAsia="Times New Roman" w:cs="Times New Roman"/>
                <w:szCs w:val="24"/>
                <w:lang w:eastAsia="vi-VN"/>
              </w:rPr>
              <w:br/>
              <w:t>- Viện kiểm sát nhân dân tối cao;</w:t>
            </w:r>
            <w:r w:rsidRPr="00D26798">
              <w:rPr>
                <w:rFonts w:eastAsia="Times New Roman" w:cs="Times New Roman"/>
                <w:szCs w:val="24"/>
                <w:lang w:eastAsia="vi-VN"/>
              </w:rPr>
              <w:br/>
              <w:t>- Kiểm toán Nhà nước;</w:t>
            </w:r>
            <w:r w:rsidRPr="00D26798">
              <w:rPr>
                <w:rFonts w:eastAsia="Times New Roman" w:cs="Times New Roman"/>
                <w:szCs w:val="24"/>
                <w:lang w:eastAsia="vi-VN"/>
              </w:rPr>
              <w:br/>
              <w:t>- Cơ quan TW các đoàn thể và các Hội;</w:t>
            </w:r>
            <w:r w:rsidRPr="00D26798">
              <w:rPr>
                <w:rFonts w:eastAsia="Times New Roman" w:cs="Times New Roman"/>
                <w:szCs w:val="24"/>
                <w:lang w:eastAsia="vi-VN"/>
              </w:rPr>
              <w:br/>
              <w:t>- Sở LĐTBXH tỉnh, thành phố trực thuộc TW;</w:t>
            </w:r>
            <w:r w:rsidRPr="00D26798">
              <w:rPr>
                <w:rFonts w:eastAsia="Times New Roman" w:cs="Times New Roman"/>
                <w:szCs w:val="24"/>
                <w:lang w:eastAsia="vi-VN"/>
              </w:rPr>
              <w:br/>
              <w:t>- Các Tập đoàn kinh tế và Tổng công ty hạng đặc biệt;</w:t>
            </w:r>
            <w:r w:rsidRPr="00D26798">
              <w:rPr>
                <w:rFonts w:eastAsia="Times New Roman" w:cs="Times New Roman"/>
                <w:szCs w:val="24"/>
                <w:lang w:eastAsia="vi-VN"/>
              </w:rPr>
              <w:br/>
              <w:t>- Ngân hàng Chính sách xã hội; Ngân hàng Phát triển Việt Nam;</w:t>
            </w:r>
            <w:r w:rsidRPr="00D26798">
              <w:rPr>
                <w:rFonts w:eastAsia="Times New Roman" w:cs="Times New Roman"/>
                <w:szCs w:val="24"/>
                <w:lang w:eastAsia="vi-VN"/>
              </w:rPr>
              <w:br/>
              <w:t>- Cục Kiểm tra văn bản (Bộ Tư pháp);</w:t>
            </w:r>
            <w:r w:rsidRPr="00D26798">
              <w:rPr>
                <w:rFonts w:eastAsia="Times New Roman" w:cs="Times New Roman"/>
                <w:szCs w:val="24"/>
                <w:lang w:eastAsia="vi-VN"/>
              </w:rPr>
              <w:br/>
              <w:t>- Đăng Công báo;</w:t>
            </w:r>
            <w:r w:rsidRPr="00D26798">
              <w:rPr>
                <w:rFonts w:eastAsia="Times New Roman" w:cs="Times New Roman"/>
                <w:szCs w:val="24"/>
                <w:lang w:eastAsia="vi-VN"/>
              </w:rPr>
              <w:br/>
              <w:t xml:space="preserve">- Website </w:t>
            </w:r>
            <w:r w:rsidRPr="00D26798">
              <w:rPr>
                <w:rFonts w:eastAsia="Times New Roman" w:cs="Times New Roman"/>
                <w:szCs w:val="24"/>
                <w:shd w:val="solid" w:color="FFFFFF" w:fill="auto"/>
                <w:lang w:eastAsia="vi-VN"/>
              </w:rPr>
              <w:t>của</w:t>
            </w:r>
            <w:r w:rsidRPr="00D26798">
              <w:rPr>
                <w:rFonts w:eastAsia="Times New Roman" w:cs="Times New Roman"/>
                <w:szCs w:val="24"/>
                <w:lang w:eastAsia="vi-VN"/>
              </w:rPr>
              <w:t xml:space="preserve"> Bộ LĐTBXH;</w:t>
            </w:r>
            <w:r w:rsidRPr="00D26798">
              <w:rPr>
                <w:rFonts w:eastAsia="Times New Roman" w:cs="Times New Roman"/>
                <w:szCs w:val="24"/>
                <w:lang w:eastAsia="vi-VN"/>
              </w:rPr>
              <w:br/>
              <w:t>- Lưu: VT, Vụ LĐTL, PC.</w:t>
            </w:r>
          </w:p>
        </w:tc>
        <w:tc>
          <w:tcPr>
            <w:tcW w:w="4850" w:type="dxa"/>
            <w:tcBorders>
              <w:top w:val="nil"/>
              <w:left w:val="nil"/>
              <w:bottom w:val="nil"/>
              <w:right w:val="nil"/>
            </w:tcBorders>
            <w:tcMar>
              <w:top w:w="0" w:type="dxa"/>
              <w:left w:w="108" w:type="dxa"/>
              <w:bottom w:w="0" w:type="dxa"/>
              <w:right w:w="108" w:type="dxa"/>
            </w:tcMar>
            <w:hideMark/>
          </w:tcPr>
          <w:p w:rsidR="00D26798" w:rsidRPr="00D26798" w:rsidRDefault="00D26798" w:rsidP="00D26798">
            <w:pPr>
              <w:spacing w:after="0" w:line="240" w:lineRule="auto"/>
              <w:jc w:val="center"/>
              <w:rPr>
                <w:rFonts w:eastAsia="Times New Roman" w:cs="Times New Roman"/>
                <w:szCs w:val="24"/>
                <w:lang w:eastAsia="vi-VN"/>
              </w:rPr>
            </w:pPr>
            <w:r w:rsidRPr="00D26798">
              <w:rPr>
                <w:rFonts w:eastAsia="Times New Roman" w:cs="Times New Roman"/>
                <w:b/>
                <w:bCs/>
                <w:szCs w:val="24"/>
                <w:lang w:eastAsia="vi-VN"/>
              </w:rPr>
              <w:t xml:space="preserve">KT. BỘ TRƯỞNG </w:t>
            </w:r>
            <w:r w:rsidRPr="00D26798">
              <w:rPr>
                <w:rFonts w:eastAsia="Times New Roman" w:cs="Times New Roman"/>
                <w:b/>
                <w:bCs/>
                <w:szCs w:val="24"/>
                <w:lang w:eastAsia="vi-VN"/>
              </w:rPr>
              <w:br/>
              <w:t>THỨ TRƯỞNG</w:t>
            </w:r>
            <w:r w:rsidRPr="00D26798">
              <w:rPr>
                <w:rFonts w:eastAsia="Times New Roman" w:cs="Times New Roman"/>
                <w:b/>
                <w:bCs/>
                <w:szCs w:val="24"/>
                <w:lang w:eastAsia="vi-VN"/>
              </w:rPr>
              <w:br/>
            </w:r>
            <w:r w:rsidRPr="00D26798">
              <w:rPr>
                <w:rFonts w:eastAsia="Times New Roman" w:cs="Times New Roman"/>
                <w:b/>
                <w:bCs/>
                <w:szCs w:val="24"/>
                <w:lang w:eastAsia="vi-VN"/>
              </w:rPr>
              <w:br/>
            </w:r>
            <w:r w:rsidRPr="00D26798">
              <w:rPr>
                <w:rFonts w:eastAsia="Times New Roman" w:cs="Times New Roman"/>
                <w:b/>
                <w:bCs/>
                <w:szCs w:val="24"/>
                <w:lang w:eastAsia="vi-VN"/>
              </w:rPr>
              <w:br/>
            </w:r>
            <w:r w:rsidRPr="00D26798">
              <w:rPr>
                <w:rFonts w:eastAsia="Times New Roman" w:cs="Times New Roman"/>
                <w:b/>
                <w:bCs/>
                <w:szCs w:val="24"/>
                <w:lang w:eastAsia="vi-VN"/>
              </w:rPr>
              <w:br/>
            </w:r>
            <w:r w:rsidRPr="00D26798">
              <w:rPr>
                <w:rFonts w:eastAsia="Times New Roman" w:cs="Times New Roman"/>
                <w:b/>
                <w:bCs/>
                <w:szCs w:val="24"/>
                <w:lang w:eastAsia="vi-VN"/>
              </w:rPr>
              <w:br/>
              <w:t>Phạm Minh Huân</w:t>
            </w:r>
          </w:p>
        </w:tc>
      </w:tr>
    </w:tbl>
    <w:p w:rsidR="00D26798" w:rsidRPr="00D26798" w:rsidRDefault="00D26798" w:rsidP="00D26798">
      <w:pPr>
        <w:spacing w:after="0" w:line="240" w:lineRule="auto"/>
        <w:rPr>
          <w:rFonts w:eastAsia="Times New Roman" w:cs="Times New Roman"/>
          <w:szCs w:val="24"/>
          <w:lang w:eastAsia="vi-VN"/>
        </w:rPr>
      </w:pPr>
      <w:r w:rsidRPr="00D26798">
        <w:rPr>
          <w:rFonts w:eastAsia="Times New Roman" w:cs="Times New Roman"/>
          <w:szCs w:val="24"/>
          <w:lang w:eastAsia="vi-VN"/>
        </w:rPr>
        <w:t> </w:t>
      </w:r>
    </w:p>
    <w:p w:rsidR="00D26798" w:rsidRPr="00D26798" w:rsidRDefault="00D26798" w:rsidP="00D26798">
      <w:pPr>
        <w:spacing w:after="0" w:line="240" w:lineRule="auto"/>
        <w:rPr>
          <w:rFonts w:eastAsia="Times New Roman" w:cs="Times New Roman"/>
          <w:szCs w:val="24"/>
          <w:lang w:eastAsia="vi-VN"/>
        </w:rPr>
      </w:pPr>
    </w:p>
    <w:p w:rsidR="007A2366" w:rsidRPr="00D26798" w:rsidRDefault="007A2366" w:rsidP="00D26798">
      <w:bookmarkStart w:id="11" w:name="_GoBack"/>
      <w:bookmarkEnd w:id="11"/>
    </w:p>
    <w:sectPr w:rsidR="007A2366" w:rsidRPr="00D26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2017-11-19T01:08:00Z</dcterms:created>
  <dcterms:modified xsi:type="dcterms:W3CDTF">2017-11-19T01:08:00Z</dcterms:modified>
</cp:coreProperties>
</file>